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6"/>
        </w:rPr>
        <w:t>[TÊN CÔNG TY TNHH MỘT THÀNH VIÊN]</w:t>
      </w:r>
    </w:p>
    <w:p>
      <w:pPr>
        <w:jc w:val="center"/>
      </w:pPr>
      <w:r>
        <w:rPr>
          <w:b/>
          <w:sz w:val="32"/>
        </w:rPr>
        <w:t>QUY CHẾ QUẢN LÝ TÀI CHÍNH</w:t>
      </w:r>
    </w:p>
    <w:p>
      <w:pPr>
        <w:jc w:val="center"/>
      </w:pPr>
      <w:r>
        <w:t>Ban hành kèm theo Quyết định số [SỐ] ngày [NGÀY/THÁNG/NĂM] của [CHỦ SỞ HỮU/CHỦ TỊCH CÔNG TY/HỘI ĐỒNG THÀNH VIÊN/TỔNG GIÁM ĐỐC THEO ĐIỀU LỆ].</w:t>
      </w:r>
    </w:p>
    <w:p>
      <w:r>
        <w:rPr>
          <w:b/>
        </w:rPr>
        <w:t>Điều 1. Đối tượng áp dụng</w:t>
      </w:r>
    </w:p>
    <w:p>
      <w:pPr>
        <w:pStyle w:val="ListNumber"/>
      </w:pPr>
      <w:r>
        <w:t>Áp dụng đối với chủ sở hữu công ty, Chủ tịch công ty hoặc Hội đồng thành viên, Ban giám đốc và các chức danh theo điều lệ.</w:t>
      </w:r>
    </w:p>
    <w:p>
      <w:r>
        <w:rPr>
          <w:b/>
        </w:rPr>
        <w:t>Điều 2. Quản lý vốn</w:t>
      </w:r>
    </w:p>
    <w:p>
      <w:pPr>
        <w:pStyle w:val="ListNumber"/>
      </w:pPr>
      <w:r>
        <w:t>Vốn của công ty gồm vốn điều lệ do chủ sở hữu cam kết góp, các khoản vay, lợi nhuận giữ lại và nguồn hợp pháp khác. Thay đổi vốn điều lệ hoặc giao dịch thuộc quyền chủ sở hữu phải được quyết định theo điều lệ.</w:t>
      </w:r>
    </w:p>
    <w:p>
      <w:r>
        <w:rPr>
          <w:b/>
        </w:rPr>
        <w:t>Điều 1. Mục đích</w:t>
      </w:r>
    </w:p>
    <w:p>
      <w:pPr>
        <w:pStyle w:val="ListNumber"/>
      </w:pPr>
      <w:r>
        <w:t>Thiết lập nguyên tắc quản lý và sử dụng nguồn lực tài chính của doanh nghiệp.</w:t>
      </w:r>
    </w:p>
    <w:p>
      <w:pPr>
        <w:pStyle w:val="ListNumber"/>
      </w:pPr>
      <w:r>
        <w:t>Xác định trách nhiệm, quyền hạn và mối quan hệ phối hợp giữa các cá nhân, bộ phận.</w:t>
      </w:r>
    </w:p>
    <w:p>
      <w:pPr>
        <w:pStyle w:val="ListNumber"/>
      </w:pPr>
      <w:r>
        <w:t>Chuẩn hóa việc lập ngân sách, đề nghị, kiểm tra, phê duyệt, thanh toán, ghi nhận và báo cáo.</w:t>
      </w:r>
    </w:p>
    <w:p>
      <w:pPr>
        <w:pStyle w:val="ListNumber"/>
      </w:pPr>
      <w:r>
        <w:t>Tạo cơ sở kiểm tra, đối chiếu, giải trình và xử lý ngoại lệ.</w:t>
      </w:r>
    </w:p>
    <w:p>
      <w:r>
        <w:rPr>
          <w:b/>
        </w:rPr>
        <w:t>Điều 2. Phạm vi điều chỉnh</w:t>
      </w:r>
    </w:p>
    <w:p>
      <w:pPr>
        <w:pStyle w:val="ListNumber"/>
      </w:pPr>
      <w:r>
        <w:t>Quản lý vốn và nguồn vốn.</w:t>
      </w:r>
    </w:p>
    <w:p>
      <w:pPr>
        <w:pStyle w:val="ListNumber"/>
      </w:pPr>
      <w:r>
        <w:t>Quản lý tiền mặt và tài khoản ngân hàng.</w:t>
      </w:r>
    </w:p>
    <w:p>
      <w:pPr>
        <w:pStyle w:val="ListNumber"/>
      </w:pPr>
      <w:r>
        <w:t>Quản lý tài sản, công cụ dụng cụ và hàng tồn kho.</w:t>
      </w:r>
    </w:p>
    <w:p>
      <w:pPr>
        <w:pStyle w:val="ListNumber"/>
      </w:pPr>
      <w:r>
        <w:t>Quản lý doanh thu, chi phí, ngân sách, tạm ứng và hoàn ứng.</w:t>
      </w:r>
    </w:p>
    <w:p>
      <w:pPr>
        <w:pStyle w:val="ListNumber"/>
      </w:pPr>
      <w:r>
        <w:t>Quản lý công nợ phải thu, công nợ phải trả và thanh toán.</w:t>
      </w:r>
    </w:p>
    <w:p>
      <w:pPr>
        <w:pStyle w:val="ListNumber"/>
      </w:pPr>
      <w:r>
        <w:t>Quản lý hóa đơn, chứng từ, dữ liệu, kế toán và báo cáo.</w:t>
      </w:r>
    </w:p>
    <w:p>
      <w:r>
        <w:rPr>
          <w:b/>
        </w:rPr>
        <w:t>Điều 3. Nguyên tắc quản lý tài chính</w:t>
      </w:r>
    </w:p>
    <w:p>
      <w:pPr>
        <w:pStyle w:val="ListNumber"/>
      </w:pPr>
      <w:r>
        <w:t>Giao dịch phải phục vụ hoạt động hợp pháp của doanh nghiệp.</w:t>
      </w:r>
    </w:p>
    <w:p>
      <w:pPr>
        <w:pStyle w:val="ListNumber"/>
      </w:pPr>
      <w:r>
        <w:t>Giao dịch phải đúng ngân sách, hạn mức và thẩm quyền.</w:t>
      </w:r>
    </w:p>
    <w:p>
      <w:pPr>
        <w:pStyle w:val="ListNumber"/>
      </w:pPr>
      <w:r>
        <w:t>Hồ sơ phải đầy đủ, trung thực và có thể truy xuất.</w:t>
      </w:r>
    </w:p>
    <w:p>
      <w:pPr>
        <w:pStyle w:val="ListNumber"/>
      </w:pPr>
      <w:r>
        <w:t>Phải phân tách người đề nghị, người kiểm tra, người phê duyệt, người thanh toán và người đối chiếu.</w:t>
      </w:r>
    </w:p>
    <w:p>
      <w:pPr>
        <w:pStyle w:val="ListNumber"/>
      </w:pPr>
      <w:r>
        <w:t>Ngoại lệ phải ghi rõ lý do, cấp chấp thuận và thời hạn hoàn thiện hồ sơ.</w:t>
      </w:r>
    </w:p>
    <w:p>
      <w:r>
        <w:rPr>
          <w:b/>
        </w:rPr>
        <w:t>Điều 4. Quản lý tiền mặt</w:t>
      </w:r>
    </w:p>
    <w:p>
      <w:pPr>
        <w:pStyle w:val="ListNumber"/>
      </w:pPr>
      <w:r>
        <w:t>Doanh nghiệp quy định hạn mức tồn quỹ theo từng thời kỳ.</w:t>
      </w:r>
    </w:p>
    <w:p>
      <w:pPr>
        <w:pStyle w:val="ListNumber"/>
      </w:pPr>
      <w:r>
        <w:t>Mọi khoản thu, chi phải có phiếu và hồ sơ kèm theo.</w:t>
      </w:r>
    </w:p>
    <w:p>
      <w:pPr>
        <w:pStyle w:val="ListNumber"/>
      </w:pPr>
      <w:r>
        <w:t>Thủ quỹ không đồng thời là người phê duyệt và người ghi sổ cùng một giao dịch, trừ khi có kiểm soát bù trừ.</w:t>
      </w:r>
    </w:p>
    <w:p>
      <w:pPr>
        <w:pStyle w:val="ListNumber"/>
      </w:pPr>
      <w:r>
        <w:t>Thực hiện kiểm kê quỹ định kỳ và khi có yêu cầu.</w:t>
      </w:r>
    </w:p>
    <w:p>
      <w:r>
        <w:rPr>
          <w:b/>
        </w:rPr>
        <w:t>Điều 5. Quản lý tài khoản ngân hàng</w:t>
      </w:r>
    </w:p>
    <w:p>
      <w:pPr>
        <w:pStyle w:val="ListNumber"/>
      </w:pPr>
      <w:r>
        <w:t>Chỉ sử dụng tài khoản được mở và phê duyệt hợp lệ.</w:t>
      </w:r>
    </w:p>
    <w:p>
      <w:pPr>
        <w:pStyle w:val="ListNumber"/>
      </w:pPr>
      <w:r>
        <w:t>Phân tách người lập, người kiểm tra và người duyệt lệnh thanh toán.</w:t>
      </w:r>
    </w:p>
    <w:p>
      <w:pPr>
        <w:pStyle w:val="ListNumber"/>
      </w:pPr>
      <w:r>
        <w:t>Thay đổi tài khoản nhà cung cấp phải được kiểm tra độc lập.</w:t>
      </w:r>
    </w:p>
    <w:p>
      <w:pPr>
        <w:pStyle w:val="ListNumber"/>
      </w:pPr>
      <w:r>
        <w:t>Đối chiếu sổ phụ ngân hàng với sổ kế toán theo định kỳ.</w:t>
      </w:r>
    </w:p>
    <w:p>
      <w:r>
        <w:rPr>
          <w:b/>
        </w:rPr>
        <w:t>Điều 6. Quản lý tài sản</w:t>
      </w:r>
    </w:p>
    <w:p>
      <w:pPr>
        <w:pStyle w:val="ListNumber"/>
      </w:pPr>
      <w:r>
        <w:t>Mua sắm tài sản phải căn cứ nhu cầu, kế hoạch và ngân sách.</w:t>
      </w:r>
    </w:p>
    <w:p>
      <w:pPr>
        <w:pStyle w:val="ListNumber"/>
      </w:pPr>
      <w:r>
        <w:t>Tài sản phải được mã hóa, bàn giao và theo dõi người sử dụng.</w:t>
      </w:r>
    </w:p>
    <w:p>
      <w:pPr>
        <w:pStyle w:val="ListNumber"/>
      </w:pPr>
      <w:r>
        <w:t>Điều chuyển, sửa chữa, thanh lý hoặc nhượng bán phải đúng thẩm quyền.</w:t>
      </w:r>
    </w:p>
    <w:p>
      <w:pPr>
        <w:pStyle w:val="ListNumber"/>
      </w:pPr>
      <w:r>
        <w:t>Kiểm kê định kỳ và xử lý chênh lệch theo biên bản.</w:t>
      </w:r>
    </w:p>
    <w:p>
      <w:r>
        <w:rPr>
          <w:b/>
        </w:rPr>
        <w:t>Điều 7. Quản lý doanh thu</w:t>
      </w:r>
    </w:p>
    <w:p>
      <w:pPr>
        <w:pStyle w:val="ListNumber"/>
      </w:pPr>
      <w:r>
        <w:t>Theo dõi doanh thu theo hợp đồng, khách hàng, sản phẩm hoặc dịch vụ, thời điểm ghi nhận và trạng thái thu tiền.</w:t>
      </w:r>
    </w:p>
    <w:p>
      <w:pPr>
        <w:pStyle w:val="ListNumber"/>
      </w:pPr>
      <w:r>
        <w:t>Khoản chiết khấu, giảm trừ, hoàn tiền hoặc điều chỉnh phải có căn cứ và được phê duyệt.</w:t>
      </w:r>
    </w:p>
    <w:p>
      <w:r>
        <w:rPr>
          <w:b/>
        </w:rPr>
        <w:t>Điều 8. Quản lý chi phí</w:t>
      </w:r>
    </w:p>
    <w:p>
      <w:pPr>
        <w:pStyle w:val="ListNumber"/>
      </w:pPr>
      <w:r>
        <w:t>Mỗi khoản chi phải xác định mục đích, người đề nghị, ngân sách, đơn vị sử dụng và trung tâm chi phí.</w:t>
      </w:r>
    </w:p>
    <w:p>
      <w:pPr>
        <w:pStyle w:val="ListNumber"/>
      </w:pPr>
      <w:r>
        <w:t>Hồ sơ thanh toán được xác định theo từng loại giao dịch.</w:t>
      </w:r>
    </w:p>
    <w:p>
      <w:pPr>
        <w:pStyle w:val="ListNumber"/>
      </w:pPr>
      <w:r>
        <w:t>Khoản chi vượt hạn mức hoặc thiếu hồ sơ phải đi theo luồng phê duyệt ngoại lệ.</w:t>
      </w:r>
    </w:p>
    <w:p>
      <w:pPr>
        <w:pStyle w:val="ListNumber"/>
      </w:pPr>
      <w:r>
        <w:t>Chi tiêu đúng ngân sách không đồng nghĩa với đúng chính sách.</w:t>
      </w:r>
    </w:p>
    <w:p>
      <w:r>
        <w:rPr>
          <w:b/>
        </w:rPr>
        <w:t>Điều 9. Lập và kiểm soát ngân sách</w:t>
      </w:r>
    </w:p>
    <w:p>
      <w:pPr>
        <w:pStyle w:val="ListNumber"/>
      </w:pPr>
      <w:r>
        <w:t>Các bộ phận lập ngân sách theo kỳ và biểu mẫu thống nhất.</w:t>
      </w:r>
    </w:p>
    <w:p>
      <w:pPr>
        <w:pStyle w:val="ListNumber"/>
      </w:pPr>
      <w:r>
        <w:t>Ngân sách phải có cơ sở lập, người chịu trách nhiệm và thời gian sử dụng.</w:t>
      </w:r>
    </w:p>
    <w:p>
      <w:pPr>
        <w:pStyle w:val="ListNumber"/>
      </w:pPr>
      <w:r>
        <w:t>Bộ phận tài chính tổng hợp, kiểm tra và trình cấp có thẩm quyền phê duyệt.</w:t>
      </w:r>
    </w:p>
    <w:p>
      <w:pPr>
        <w:pStyle w:val="ListNumber"/>
      </w:pPr>
      <w:r>
        <w:t>Khoản vượt ngân sách phải có giải trình và nguồn bù đắp.</w:t>
      </w:r>
    </w:p>
    <w:p>
      <w:r>
        <w:rPr>
          <w:b/>
        </w:rPr>
        <w:t>Điều 10. Tạm ứng và hoàn ứng</w:t>
      </w:r>
    </w:p>
    <w:p>
      <w:pPr>
        <w:pStyle w:val="ListNumber"/>
      </w:pPr>
      <w:r>
        <w:t>Đề nghị tạm ứng phải ghi rõ người nhận, mục đích, số tiền và hạn hoàn ứng.</w:t>
      </w:r>
    </w:p>
    <w:p>
      <w:pPr>
        <w:pStyle w:val="ListNumber"/>
      </w:pPr>
      <w:r>
        <w:t>Theo dõi khoản tạm ứng theo người nhận, mục đích và tuổi tạm ứng.</w:t>
      </w:r>
    </w:p>
    <w:p>
      <w:pPr>
        <w:pStyle w:val="ListNumber"/>
      </w:pPr>
      <w:r>
        <w:t>Tạm ứng mới khi khoản cũ quá hạn chỉ được thực hiện khi có phê duyệt ngoại lệ.</w:t>
      </w:r>
    </w:p>
    <w:p>
      <w:r>
        <w:rPr>
          <w:b/>
        </w:rPr>
        <w:t>Điều 11. Công nợ phải thu</w:t>
      </w:r>
    </w:p>
    <w:p>
      <w:pPr>
        <w:pStyle w:val="ListNumber"/>
      </w:pPr>
      <w:r>
        <w:t>Xác định điều khoản thanh toán và hạn mức tín dụng theo nhóm khách hàng.</w:t>
      </w:r>
    </w:p>
    <w:p>
      <w:pPr>
        <w:pStyle w:val="ListNumber"/>
      </w:pPr>
      <w:r>
        <w:t>Theo dõi số dư, hạn thanh toán, tuổi nợ, trạng thái xử lý và người phụ trách.</w:t>
      </w:r>
    </w:p>
    <w:p>
      <w:pPr>
        <w:pStyle w:val="ListNumber"/>
      </w:pPr>
      <w:r>
        <w:t>Ghi nhận lịch sử đối chiếu, liên hệ, cam kết thanh toán và tranh chấp.</w:t>
      </w:r>
    </w:p>
    <w:p>
      <w:pPr>
        <w:pStyle w:val="ListNumber"/>
      </w:pPr>
      <w:r>
        <w:t>Gia hạn, giảm, xóa hoặc bù trừ công nợ phải được phê duyệt.</w:t>
      </w:r>
    </w:p>
    <w:p>
      <w:r>
        <w:rPr>
          <w:b/>
        </w:rPr>
        <w:t>Điều 12. Công nợ phải trả</w:t>
      </w:r>
    </w:p>
    <w:p>
      <w:pPr>
        <w:pStyle w:val="ListNumber"/>
      </w:pPr>
      <w:r>
        <w:t>Theo dõi nghĩa vụ thanh toán theo nhà cung cấp, hợp đồng, hóa đơn và lịch thanh toán.</w:t>
      </w:r>
    </w:p>
    <w:p>
      <w:pPr>
        <w:pStyle w:val="ListNumber"/>
      </w:pPr>
      <w:r>
        <w:t>Kiểm tra thông tin tài khoản, số tiền, điều kiện thanh toán và hồ sơ trước khi chi.</w:t>
      </w:r>
    </w:p>
    <w:p>
      <w:pPr>
        <w:pStyle w:val="ListNumber"/>
      </w:pPr>
      <w:r>
        <w:t>Đối chiếu đơn mua hàng, giao nhận hoặc nghiệm thu và hóa đơn khi giao dịch có các chứng từ này.</w:t>
      </w:r>
    </w:p>
    <w:p>
      <w:pPr>
        <w:pStyle w:val="ListNumber"/>
      </w:pPr>
      <w:r>
        <w:t>Có cơ chế nhận diện thanh toán trùng hoặc thanh toán khi hồ sơ chưa đủ.</w:t>
      </w:r>
    </w:p>
    <w:p>
      <w:r>
        <w:rPr>
          <w:b/>
        </w:rPr>
        <w:t>Điều 13. Phân cấp thẩm quyền</w:t>
      </w:r>
    </w:p>
    <w:p>
      <w:pPr>
        <w:pStyle w:val="ListNumber"/>
      </w:pPr>
      <w:r>
        <w:t>Thẩm quyền được xác định theo loại giao dịch, giá trị, ngân sách, đơn vị đề nghị và mức độ ngoại lệ.</w:t>
      </w:r>
    </w:p>
    <w:p>
      <w:pPr>
        <w:pStyle w:val="ListNumber"/>
      </w:pPr>
      <w:r>
        <w:t>Hạn mức chi tiết được quy định tại phụ lục ma trận phê duyệt.</w:t>
      </w:r>
    </w:p>
    <w:p>
      <w:pPr>
        <w:pStyle w:val="ListNumber"/>
      </w:pPr>
      <w:r>
        <w:t>Người được ủy quyền chỉ phê duyệt trong phạm vi, thời hạn và điều kiện được giao.</w:t>
      </w:r>
    </w:p>
    <w:p>
      <w:r>
        <w:rPr>
          <w:b/>
        </w:rPr>
        <w:t>Điều 14. Phân tách nhiệm vụ</w:t>
      </w:r>
    </w:p>
    <w:p>
      <w:pPr>
        <w:pStyle w:val="ListNumber"/>
      </w:pPr>
      <w:r>
        <w:t>Người đề nghị không tự phê duyệt khoản chi của mình.</w:t>
      </w:r>
    </w:p>
    <w:p>
      <w:pPr>
        <w:pStyle w:val="ListNumber"/>
      </w:pPr>
      <w:r>
        <w:t>Người tạo hoặc thay đổi thông tin nhà cung cấp không tự phê duyệt thay đổi đó.</w:t>
      </w:r>
    </w:p>
    <w:p>
      <w:pPr>
        <w:pStyle w:val="ListNumber"/>
      </w:pPr>
      <w:r>
        <w:t>Người lập và người duyệt lệnh thanh toán phải độc lập.</w:t>
      </w:r>
    </w:p>
    <w:p>
      <w:r>
        <w:rPr>
          <w:b/>
        </w:rPr>
        <w:t>Điều 15. Hồ sơ và trình tự thanh toán</w:t>
      </w:r>
    </w:p>
    <w:p>
      <w:pPr>
        <w:pStyle w:val="ListNumber"/>
      </w:pPr>
      <w:r>
        <w:t>Hồ sơ có thể gồm đề nghị thanh toán, hợp đồng, báo giá, đơn mua hàng, giao nhận hoặc nghiệm thu, hóa đơn và đối chiếu công nợ.</w:t>
      </w:r>
    </w:p>
    <w:p>
      <w:pPr>
        <w:pStyle w:val="ListNumber"/>
      </w:pPr>
      <w:r>
        <w:t>Trình tự gồm tiếp nhận hồ sơ, kiểm tra tính đầy đủ, kiểm tra ngân sách, đối chiếu giao dịch, phê duyệt, thanh toán và đối chiếu sau thanh toán.</w:t>
      </w:r>
    </w:p>
    <w:p>
      <w:r>
        <w:rPr>
          <w:b/>
        </w:rPr>
        <w:t>Điều 16. Xử lý ngoại lệ</w:t>
      </w:r>
    </w:p>
    <w:p>
      <w:pPr>
        <w:pStyle w:val="ListNumber"/>
      </w:pPr>
      <w:r>
        <w:t>Giao dịch vượt ngân sách, vượt hạn mức, thiếu chứng từ hoặc ngoài lịch phải được đánh dấu ngoại lệ.</w:t>
      </w:r>
    </w:p>
    <w:p>
      <w:pPr>
        <w:pStyle w:val="ListNumber"/>
      </w:pPr>
      <w:r>
        <w:t>Người đề nghị phải giải trình và nêu thời hạn hoàn thiện hồ sơ.</w:t>
      </w:r>
    </w:p>
    <w:p>
      <w:pPr>
        <w:pStyle w:val="ListNumber"/>
      </w:pPr>
      <w:r>
        <w:t>Kết quả xử lý phải lưu người duyệt, thời điểm và điều kiện kèm theo.</w:t>
      </w:r>
    </w:p>
    <w:p>
      <w:r>
        <w:rPr>
          <w:b/>
        </w:rPr>
        <w:t>Điều 17. Hóa đơn và chứng từ điện tử</w:t>
      </w:r>
    </w:p>
    <w:p>
      <w:pPr>
        <w:pStyle w:val="ListNumber"/>
      </w:pPr>
      <w:r>
        <w:t>Quy định kênh tiếp nhận và người chịu trách nhiệm kiểm tra.</w:t>
      </w:r>
    </w:p>
    <w:p>
      <w:pPr>
        <w:pStyle w:val="ListNumber"/>
      </w:pPr>
      <w:r>
        <w:t>Kiểm tra người bán, người mua, số tiền, thuế, nội dung và trạng thái hóa đơn.</w:t>
      </w:r>
    </w:p>
    <w:p>
      <w:pPr>
        <w:pStyle w:val="ListNumber"/>
      </w:pPr>
      <w:r>
        <w:t>Tách kiểm tra tính hợp lệ của hóa đơn với kiểm tra khoản chi đúng chính sách.</w:t>
      </w:r>
    </w:p>
    <w:p>
      <w:pPr>
        <w:pStyle w:val="ListNumber"/>
      </w:pPr>
      <w:r>
        <w:t>Hóa đơn sai lệch phải được xử lý trước khi chuyển thanh toán.</w:t>
      </w:r>
    </w:p>
    <w:p>
      <w:pPr>
        <w:pStyle w:val="ListNumber"/>
      </w:pPr>
      <w:r>
        <w:t>Phân quyền truy cập, khai thác, xuất và lưu trữ dữ liệu.</w:t>
      </w:r>
    </w:p>
    <w:p>
      <w:r>
        <w:rPr>
          <w:b/>
        </w:rPr>
        <w:t>Điều 18. Tổ chức công tác kế toán</w:t>
      </w:r>
    </w:p>
    <w:p>
      <w:pPr>
        <w:pStyle w:val="ListNumber"/>
      </w:pPr>
      <w:r>
        <w:t>Ghi nhận, hạch toán, đối chiếu và lập báo cáo theo chế độ kế toán doanh nghiệp áp dụng.</w:t>
      </w:r>
    </w:p>
    <w:p>
      <w:pPr>
        <w:pStyle w:val="ListNumber"/>
      </w:pPr>
      <w:r>
        <w:t>Điều chỉnh sai sót phải có người thực hiện, người kiểm tra và lịch sử thay đổi.</w:t>
      </w:r>
    </w:p>
    <w:p>
      <w:r>
        <w:rPr>
          <w:b/>
        </w:rPr>
        <w:t>Điều 19. Báo cáo quản trị</w:t>
      </w:r>
    </w:p>
    <w:p>
      <w:pPr>
        <w:pStyle w:val="ListNumber"/>
      </w:pPr>
      <w:r>
        <w:t>Báo cáo ngân sách so với thực tế.</w:t>
      </w:r>
    </w:p>
    <w:p>
      <w:pPr>
        <w:pStyle w:val="ListNumber"/>
      </w:pPr>
      <w:r>
        <w:t>Báo cáo dòng tiền và dự báo dòng tiền.</w:t>
      </w:r>
    </w:p>
    <w:p>
      <w:pPr>
        <w:pStyle w:val="ListNumber"/>
      </w:pPr>
      <w:r>
        <w:t>Báo cáo công nợ phải thu, phải trả và tuổi nợ.</w:t>
      </w:r>
    </w:p>
    <w:p>
      <w:pPr>
        <w:pStyle w:val="ListNumber"/>
      </w:pPr>
      <w:r>
        <w:t>Báo cáo tạm ứng chưa hoàn.</w:t>
      </w:r>
    </w:p>
    <w:p>
      <w:pPr>
        <w:pStyle w:val="ListNumber"/>
      </w:pPr>
      <w:r>
        <w:t>Báo cáo giao dịch vượt hạn mức hoặc ngoại lệ.</w:t>
      </w:r>
    </w:p>
    <w:p>
      <w:r>
        <w:rPr>
          <w:b/>
        </w:rPr>
        <w:t>Điều 20. Kiểm tra, hiệu lực và sửa đổi</w:t>
      </w:r>
    </w:p>
    <w:p>
      <w:pPr>
        <w:pStyle w:val="ListNumber"/>
      </w:pPr>
      <w:r>
        <w:t>Bộ phận tài chính-kế toán hoặc bộ phận kiểm soát nội bộ theo dõi việc thực hiện.</w:t>
      </w:r>
    </w:p>
    <w:p>
      <w:pPr>
        <w:pStyle w:val="ListNumber"/>
      </w:pPr>
      <w:r>
        <w:t>Vi phạm được xem xét theo mức độ, hậu quả và quy định nội bộ.</w:t>
      </w:r>
    </w:p>
    <w:p>
      <w:pPr>
        <w:pStyle w:val="ListNumber"/>
      </w:pPr>
      <w:r>
        <w:t>Quy chế có hiệu lực từ [NGÀY/THÁNG/NĂM].</w:t>
      </w:r>
    </w:p>
    <w:p>
      <w:pPr>
        <w:pStyle w:val="ListNumber"/>
      </w:pPr>
      <w:r>
        <w:t>Mọi sửa đổi phải ghi phiên bản, ngày hiệu lực và người phê duyệt.</w:t>
      </w:r>
    </w:p>
    <w:p>
      <w:pPr>
        <w:pStyle w:val="ListNumber"/>
      </w:pPr>
      <w:r>
        <w:t>Rà soát khi có thay đổi pháp luật, điều lệ, tổ chức, quy trình hoặc hệ thống.</w:t>
      </w:r>
    </w:p>
    <w:p>
      <w:r>
        <w:rPr>
          <w:b/>
        </w:rPr>
        <w:t>Điều 21. Phân phối lợi nhuận và xử lý lỗ</w:t>
      </w:r>
    </w:p>
    <w:p>
      <w:pPr>
        <w:pStyle w:val="ListNumber"/>
      </w:pPr>
      <w:r>
        <w:t>Lợi nhuận sau khi hoàn thành nghĩa vụ tài chính được phân phối theo quyết định của chủ sở hữu công ty và điều lệ.</w:t>
      </w:r>
    </w:p>
    <w:p>
      <w:pPr>
        <w:pStyle w:val="ListNumber"/>
      </w:pPr>
      <w:r>
        <w:t>Việc trích lập quỹ, phân phối lợi nhuận hoặc xử lý lỗ chỉ được thực hiện sau khi hoàn thành các nghĩa vụ theo quy định và được cấp có thẩm quyền phê duyệt.</w:t>
      </w:r>
    </w:p>
    <w:p>
      <w:r>
        <w:br w:type="page"/>
      </w:r>
    </w:p>
    <w:p>
      <w:pPr>
        <w:jc w:val="center"/>
      </w:pPr>
      <w:r>
        <w:rPr>
          <w:b/>
          <w:sz w:val="30"/>
        </w:rPr>
        <w:t>PHỤ LỤC MA TRẬN PHÂN QUYỀN VÀ PHÊ DUYỆT</w:t>
      </w:r>
    </w:p>
    <w:p>
      <w:r>
        <w:t>Các hạn mức trong bảng là trường cần điền, không phải mức áp dụng chung.</w:t>
      </w:r>
    </w:p>
    <w:tbl>
      <w:tblPr>
        <w:tblStyle w:val="TableGrid"/>
        <w:tblW w:type="auto" w:w="0"/>
        <w:jc w:val="center"/>
        <w:tblLook w:firstColumn="1" w:firstRow="1" w:lastColumn="0" w:lastRow="0" w:noHBand="0" w:noVBand="1" w:val="04A0"/>
      </w:tblPr>
      <w:tblGrid>
        <w:gridCol w:w="1662"/>
        <w:gridCol w:w="1662"/>
        <w:gridCol w:w="1662"/>
        <w:gridCol w:w="1662"/>
        <w:gridCol w:w="1662"/>
        <w:gridCol w:w="1662"/>
      </w:tblGrid>
      <w:tr>
        <w:tc>
          <w:tcPr>
            <w:tcW w:type="dxa" w:w="1662"/>
            <w:vAlign w:val="top"/>
          </w:tcPr>
          <w:p>
            <w:r>
              <w:rPr>
                <w:rFonts w:ascii="Times New Roman" w:hAnsi="Times New Roman" w:eastAsia="Times New Roman"/>
                <w:sz w:val="18"/>
              </w:rPr>
              <w:t>Nhóm giao dịch</w:t>
            </w:r>
          </w:p>
        </w:tc>
        <w:tc>
          <w:tcPr>
            <w:tcW w:type="dxa" w:w="1662"/>
            <w:vAlign w:val="top"/>
          </w:tcPr>
          <w:p>
            <w:r>
              <w:rPr>
                <w:rFonts w:ascii="Times New Roman" w:hAnsi="Times New Roman" w:eastAsia="Times New Roman"/>
                <w:sz w:val="18"/>
              </w:rPr>
              <w:t>Điều kiện/hạn mức</w:t>
            </w:r>
          </w:p>
        </w:tc>
        <w:tc>
          <w:tcPr>
            <w:tcW w:type="dxa" w:w="1662"/>
            <w:vAlign w:val="top"/>
          </w:tcPr>
          <w:p>
            <w:r>
              <w:rPr>
                <w:rFonts w:ascii="Times New Roman" w:hAnsi="Times New Roman" w:eastAsia="Times New Roman"/>
                <w:sz w:val="18"/>
              </w:rPr>
              <w:t>Người đề nghị</w:t>
            </w:r>
          </w:p>
        </w:tc>
        <w:tc>
          <w:tcPr>
            <w:tcW w:type="dxa" w:w="1662"/>
            <w:vAlign w:val="top"/>
          </w:tcPr>
          <w:p>
            <w:r>
              <w:rPr>
                <w:rFonts w:ascii="Times New Roman" w:hAnsi="Times New Roman" w:eastAsia="Times New Roman"/>
                <w:sz w:val="18"/>
              </w:rPr>
              <w:t>Người kiểm tra</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Hồ sơ tối thiểu</w:t>
            </w:r>
          </w:p>
        </w:tc>
      </w:tr>
      <w:tr>
        <w:tc>
          <w:tcPr>
            <w:tcW w:type="dxa" w:w="1662"/>
            <w:vAlign w:val="top"/>
          </w:tcPr>
          <w:p>
            <w:r>
              <w:rPr>
                <w:rFonts w:ascii="Times New Roman" w:hAnsi="Times New Roman" w:eastAsia="Times New Roman"/>
                <w:sz w:val="18"/>
              </w:rPr>
              <w:t>Chi phí trong ngân sách</w:t>
            </w:r>
          </w:p>
        </w:tc>
        <w:tc>
          <w:tcPr>
            <w:tcW w:type="dxa" w:w="1662"/>
            <w:vAlign w:val="top"/>
          </w:tcPr>
          <w:p>
            <w:r>
              <w:rPr>
                <w:rFonts w:ascii="Times New Roman" w:hAnsi="Times New Roman" w:eastAsia="Times New Roman"/>
                <w:sz w:val="18"/>
              </w:rPr>
              <w:t>Đến [HẠN MỨC 1]</w:t>
            </w:r>
          </w:p>
        </w:tc>
        <w:tc>
          <w:tcPr>
            <w:tcW w:type="dxa" w:w="1662"/>
            <w:vAlign w:val="top"/>
          </w:tcPr>
          <w:p>
            <w:r>
              <w:rPr>
                <w:rFonts w:ascii="Times New Roman" w:hAnsi="Times New Roman" w:eastAsia="Times New Roman"/>
                <w:sz w:val="18"/>
              </w:rPr>
              <w:t>Nhân sự phụ trách</w:t>
            </w:r>
          </w:p>
        </w:tc>
        <w:tc>
          <w:tcPr>
            <w:tcW w:type="dxa" w:w="1662"/>
            <w:vAlign w:val="top"/>
          </w:tcPr>
          <w:p>
            <w:r>
              <w:rPr>
                <w:rFonts w:ascii="Times New Roman" w:hAnsi="Times New Roman" w:eastAsia="Times New Roman"/>
                <w:sz w:val="18"/>
              </w:rPr>
              <w:t>Quản lý ngân sách</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Đề nghị và chứng từ</w:t>
            </w:r>
          </w:p>
        </w:tc>
      </w:tr>
      <w:tr>
        <w:tc>
          <w:tcPr>
            <w:tcW w:type="dxa" w:w="1662"/>
            <w:vAlign w:val="top"/>
          </w:tcPr>
          <w:p>
            <w:r>
              <w:rPr>
                <w:rFonts w:ascii="Times New Roman" w:hAnsi="Times New Roman" w:eastAsia="Times New Roman"/>
                <w:sz w:val="18"/>
              </w:rPr>
              <w:t>Chi phí vượt ngân sách</w:t>
            </w:r>
          </w:p>
        </w:tc>
        <w:tc>
          <w:tcPr>
            <w:tcW w:type="dxa" w:w="1662"/>
            <w:vAlign w:val="top"/>
          </w:tcPr>
          <w:p>
            <w:r>
              <w:rPr>
                <w:rFonts w:ascii="Times New Roman" w:hAnsi="Times New Roman" w:eastAsia="Times New Roman"/>
                <w:sz w:val="18"/>
              </w:rPr>
              <w:t>Mọi giá trị</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Tài chính-kế toán</w:t>
            </w:r>
          </w:p>
        </w:tc>
        <w:tc>
          <w:tcPr>
            <w:tcW w:type="dxa" w:w="1662"/>
            <w:vAlign w:val="top"/>
          </w:tcPr>
          <w:p>
            <w:r>
              <w:rPr>
                <w:rFonts w:ascii="Times New Roman" w:hAnsi="Times New Roman" w:eastAsia="Times New Roman"/>
                <w:sz w:val="18"/>
              </w:rPr>
              <w:t>[CẤP DUYỆT NGOẠI LỆ]</w:t>
            </w:r>
          </w:p>
        </w:tc>
        <w:tc>
          <w:tcPr>
            <w:tcW w:type="dxa" w:w="1662"/>
            <w:vAlign w:val="top"/>
          </w:tcPr>
          <w:p>
            <w:r>
              <w:rPr>
                <w:rFonts w:ascii="Times New Roman" w:hAnsi="Times New Roman" w:eastAsia="Times New Roman"/>
                <w:sz w:val="18"/>
              </w:rPr>
              <w:t>Giải trình và nguồn bổ sung</w:t>
            </w:r>
          </w:p>
        </w:tc>
      </w:tr>
      <w:tr>
        <w:tc>
          <w:tcPr>
            <w:tcW w:type="dxa" w:w="1662"/>
            <w:vAlign w:val="top"/>
          </w:tcPr>
          <w:p>
            <w:r>
              <w:rPr>
                <w:rFonts w:ascii="Times New Roman" w:hAnsi="Times New Roman" w:eastAsia="Times New Roman"/>
                <w:sz w:val="18"/>
              </w:rPr>
              <w:t>Tạm ứng</w:t>
            </w:r>
          </w:p>
        </w:tc>
        <w:tc>
          <w:tcPr>
            <w:tcW w:type="dxa" w:w="1662"/>
            <w:vAlign w:val="top"/>
          </w:tcPr>
          <w:p>
            <w:r>
              <w:rPr>
                <w:rFonts w:ascii="Times New Roman" w:hAnsi="Times New Roman" w:eastAsia="Times New Roman"/>
                <w:sz w:val="18"/>
              </w:rPr>
              <w:t>Đến [HẠN MỨC]</w:t>
            </w:r>
          </w:p>
        </w:tc>
        <w:tc>
          <w:tcPr>
            <w:tcW w:type="dxa" w:w="1662"/>
            <w:vAlign w:val="top"/>
          </w:tcPr>
          <w:p>
            <w:r>
              <w:rPr>
                <w:rFonts w:ascii="Times New Roman" w:hAnsi="Times New Roman" w:eastAsia="Times New Roman"/>
                <w:sz w:val="18"/>
              </w:rPr>
              <w:t>Người nhận tạm ứng</w:t>
            </w:r>
          </w:p>
        </w:tc>
        <w:tc>
          <w:tcPr>
            <w:tcW w:type="dxa" w:w="1662"/>
            <w:vAlign w:val="top"/>
          </w:tcPr>
          <w:p>
            <w:r>
              <w:rPr>
                <w:rFonts w:ascii="Times New Roman" w:hAnsi="Times New Roman" w:eastAsia="Times New Roman"/>
                <w:sz w:val="18"/>
              </w:rPr>
              <w:t>Quản lý trực tiếp và kế toán</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Đề nghị, mục đích, hạn hoàn ứng</w:t>
            </w:r>
          </w:p>
        </w:tc>
      </w:tr>
      <w:tr>
        <w:tc>
          <w:tcPr>
            <w:tcW w:type="dxa" w:w="1662"/>
            <w:vAlign w:val="top"/>
          </w:tcPr>
          <w:p>
            <w:r>
              <w:rPr>
                <w:rFonts w:ascii="Times New Roman" w:hAnsi="Times New Roman" w:eastAsia="Times New Roman"/>
                <w:sz w:val="18"/>
              </w:rPr>
              <w:t>Mua sắm tài sản</w:t>
            </w:r>
          </w:p>
        </w:tc>
        <w:tc>
          <w:tcPr>
            <w:tcW w:type="dxa" w:w="1662"/>
            <w:vAlign w:val="top"/>
          </w:tcPr>
          <w:p>
            <w:r>
              <w:rPr>
                <w:rFonts w:ascii="Times New Roman" w:hAnsi="Times New Roman" w:eastAsia="Times New Roman"/>
                <w:sz w:val="18"/>
              </w:rPr>
              <w:t>Đến [HẠN MỨC]</w:t>
            </w:r>
          </w:p>
        </w:tc>
        <w:tc>
          <w:tcPr>
            <w:tcW w:type="dxa" w:w="1662"/>
            <w:vAlign w:val="top"/>
          </w:tcPr>
          <w:p>
            <w:r>
              <w:rPr>
                <w:rFonts w:ascii="Times New Roman" w:hAnsi="Times New Roman" w:eastAsia="Times New Roman"/>
                <w:sz w:val="18"/>
              </w:rPr>
              <w:t>Bộ phận sử dụng</w:t>
            </w:r>
          </w:p>
        </w:tc>
        <w:tc>
          <w:tcPr>
            <w:tcW w:type="dxa" w:w="1662"/>
            <w:vAlign w:val="top"/>
          </w:tcPr>
          <w:p>
            <w:r>
              <w:rPr>
                <w:rFonts w:ascii="Times New Roman" w:hAnsi="Times New Roman" w:eastAsia="Times New Roman"/>
                <w:sz w:val="18"/>
              </w:rPr>
              <w:t>Mua hàng và tài chính</w:t>
            </w:r>
          </w:p>
        </w:tc>
        <w:tc>
          <w:tcPr>
            <w:tcW w:type="dxa" w:w="1662"/>
            <w:vAlign w:val="top"/>
          </w:tcPr>
          <w:p>
            <w:r>
              <w:rPr>
                <w:rFonts w:ascii="Times New Roman" w:hAnsi="Times New Roman" w:eastAsia="Times New Roman"/>
                <w:sz w:val="18"/>
              </w:rPr>
              <w:t>[NGƯỜI PHÊ DUYỆT]</w:t>
            </w:r>
          </w:p>
        </w:tc>
        <w:tc>
          <w:tcPr>
            <w:tcW w:type="dxa" w:w="1662"/>
            <w:vAlign w:val="top"/>
          </w:tcPr>
          <w:p>
            <w:r>
              <w:rPr>
                <w:rFonts w:ascii="Times New Roman" w:hAnsi="Times New Roman" w:eastAsia="Times New Roman"/>
                <w:sz w:val="18"/>
              </w:rPr>
              <w:t>Nhu cầu, ngân sách, báo giá</w:t>
            </w:r>
          </w:p>
        </w:tc>
      </w:tr>
      <w:tr>
        <w:tc>
          <w:tcPr>
            <w:tcW w:type="dxa" w:w="1662"/>
            <w:vAlign w:val="top"/>
          </w:tcPr>
          <w:p>
            <w:r>
              <w:rPr>
                <w:rFonts w:ascii="Times New Roman" w:hAnsi="Times New Roman" w:eastAsia="Times New Roman"/>
                <w:sz w:val="18"/>
              </w:rPr>
              <w:t>Thanh toán nhà cung cấp</w:t>
            </w:r>
          </w:p>
        </w:tc>
        <w:tc>
          <w:tcPr>
            <w:tcW w:type="dxa" w:w="1662"/>
            <w:vAlign w:val="top"/>
          </w:tcPr>
          <w:p>
            <w:r>
              <w:rPr>
                <w:rFonts w:ascii="Times New Roman" w:hAnsi="Times New Roman" w:eastAsia="Times New Roman"/>
                <w:sz w:val="18"/>
              </w:rPr>
              <w:t>Theo hợp đồng</w:t>
            </w:r>
          </w:p>
        </w:tc>
        <w:tc>
          <w:tcPr>
            <w:tcW w:type="dxa" w:w="1662"/>
            <w:vAlign w:val="top"/>
          </w:tcPr>
          <w:p>
            <w:r>
              <w:rPr>
                <w:rFonts w:ascii="Times New Roman" w:hAnsi="Times New Roman" w:eastAsia="Times New Roman"/>
                <w:sz w:val="18"/>
              </w:rPr>
              <w:t>Bộ phận sử dụng/mua hàng</w:t>
            </w:r>
          </w:p>
        </w:tc>
        <w:tc>
          <w:tcPr>
            <w:tcW w:type="dxa" w:w="1662"/>
            <w:vAlign w:val="top"/>
          </w:tcPr>
          <w:p>
            <w:r>
              <w:rPr>
                <w:rFonts w:ascii="Times New Roman" w:hAnsi="Times New Roman" w:eastAsia="Times New Roman"/>
                <w:sz w:val="18"/>
              </w:rPr>
              <w:t>Kế toán thanh toán</w:t>
            </w:r>
          </w:p>
        </w:tc>
        <w:tc>
          <w:tcPr>
            <w:tcW w:type="dxa" w:w="1662"/>
            <w:vAlign w:val="top"/>
          </w:tcPr>
          <w:p>
            <w:r>
              <w:rPr>
                <w:rFonts w:ascii="Times New Roman" w:hAnsi="Times New Roman" w:eastAsia="Times New Roman"/>
                <w:sz w:val="18"/>
              </w:rPr>
              <w:t>[NGƯỜI DUYỆT LỆNH]</w:t>
            </w:r>
          </w:p>
        </w:tc>
        <w:tc>
          <w:tcPr>
            <w:tcW w:type="dxa" w:w="1662"/>
            <w:vAlign w:val="top"/>
          </w:tcPr>
          <w:p>
            <w:r>
              <w:rPr>
                <w:rFonts w:ascii="Times New Roman" w:hAnsi="Times New Roman" w:eastAsia="Times New Roman"/>
                <w:sz w:val="18"/>
              </w:rPr>
              <w:t>Hợp đồng, hóa đơn, giao nhận/nghiệm thu</w:t>
            </w:r>
          </w:p>
        </w:tc>
      </w:tr>
      <w:tr>
        <w:tc>
          <w:tcPr>
            <w:tcW w:type="dxa" w:w="1662"/>
            <w:vAlign w:val="top"/>
          </w:tcPr>
          <w:p>
            <w:r>
              <w:rPr>
                <w:rFonts w:ascii="Times New Roman" w:hAnsi="Times New Roman" w:eastAsia="Times New Roman"/>
                <w:sz w:val="18"/>
              </w:rPr>
              <w:t>Thanh toán khẩn</w:t>
            </w:r>
          </w:p>
        </w:tc>
        <w:tc>
          <w:tcPr>
            <w:tcW w:type="dxa" w:w="1662"/>
            <w:vAlign w:val="top"/>
          </w:tcPr>
          <w:p>
            <w:r>
              <w:rPr>
                <w:rFonts w:ascii="Times New Roman" w:hAnsi="Times New Roman" w:eastAsia="Times New Roman"/>
                <w:sz w:val="18"/>
              </w:rPr>
              <w:t>Ngoài lịch hoặc thiếu hồ sơ</w:t>
            </w:r>
          </w:p>
        </w:tc>
        <w:tc>
          <w:tcPr>
            <w:tcW w:type="dxa" w:w="1662"/>
            <w:vAlign w:val="top"/>
          </w:tcPr>
          <w:p>
            <w:r>
              <w:rPr>
                <w:rFonts w:ascii="Times New Roman" w:hAnsi="Times New Roman" w:eastAsia="Times New Roman"/>
                <w:sz w:val="18"/>
              </w:rPr>
              <w:t>Trưởng bộ phận</w:t>
            </w:r>
          </w:p>
        </w:tc>
        <w:tc>
          <w:tcPr>
            <w:tcW w:type="dxa" w:w="1662"/>
            <w:vAlign w:val="top"/>
          </w:tcPr>
          <w:p>
            <w:r>
              <w:rPr>
                <w:rFonts w:ascii="Times New Roman" w:hAnsi="Times New Roman" w:eastAsia="Times New Roman"/>
                <w:sz w:val="18"/>
              </w:rPr>
              <w:t>Tài chính-kế toán</w:t>
            </w:r>
          </w:p>
        </w:tc>
        <w:tc>
          <w:tcPr>
            <w:tcW w:type="dxa" w:w="1662"/>
            <w:vAlign w:val="top"/>
          </w:tcPr>
          <w:p>
            <w:r>
              <w:rPr>
                <w:rFonts w:ascii="Times New Roman" w:hAnsi="Times New Roman" w:eastAsia="Times New Roman"/>
                <w:sz w:val="18"/>
              </w:rPr>
              <w:t>[CẤP DUYỆT NGOẠI LỆ]</w:t>
            </w:r>
          </w:p>
        </w:tc>
        <w:tc>
          <w:tcPr>
            <w:tcW w:type="dxa" w:w="1662"/>
            <w:vAlign w:val="top"/>
          </w:tcPr>
          <w:p>
            <w:r>
              <w:rPr>
                <w:rFonts w:ascii="Times New Roman" w:hAnsi="Times New Roman" w:eastAsia="Times New Roman"/>
                <w:sz w:val="18"/>
              </w:rPr>
              <w:t>Giải trình và hạn bổ sung</w:t>
            </w:r>
          </w:p>
        </w:tc>
      </w:tr>
    </w:tbl>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